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AB" w:rsidRPr="003466AB" w:rsidRDefault="003466AB" w:rsidP="00967E55">
      <w:pPr>
        <w:spacing w:after="0" w:line="240" w:lineRule="atLeast"/>
        <w:outlineLvl w:val="0"/>
        <w:rPr>
          <w:rFonts w:ascii="Arial" w:eastAsia="Times New Roman" w:hAnsi="Arial" w:cs="Arial"/>
          <w:caps/>
          <w:color w:val="3E4242"/>
          <w:kern w:val="36"/>
          <w:sz w:val="24"/>
          <w:szCs w:val="24"/>
          <w:lang w:eastAsia="en-AU"/>
        </w:rPr>
      </w:pPr>
      <w:r>
        <w:rPr>
          <w:rFonts w:ascii="Arial" w:eastAsia="Times New Roman" w:hAnsi="Arial" w:cs="Arial"/>
          <w:caps/>
          <w:color w:val="3E4242"/>
          <w:kern w:val="36"/>
          <w:sz w:val="36"/>
          <w:szCs w:val="36"/>
          <w:lang w:eastAsia="en-AU"/>
        </w:rPr>
        <w:tab/>
      </w:r>
      <w:r>
        <w:rPr>
          <w:rFonts w:ascii="Arial" w:eastAsia="Times New Roman" w:hAnsi="Arial" w:cs="Arial"/>
          <w:caps/>
          <w:color w:val="3E4242"/>
          <w:kern w:val="36"/>
          <w:sz w:val="36"/>
          <w:szCs w:val="36"/>
          <w:lang w:eastAsia="en-AU"/>
        </w:rPr>
        <w:tab/>
      </w:r>
    </w:p>
    <w:p w:rsidR="003466AB" w:rsidRDefault="003466AB" w:rsidP="00967E55">
      <w:pPr>
        <w:spacing w:after="0" w:line="240" w:lineRule="atLeast"/>
        <w:outlineLvl w:val="0"/>
        <w:rPr>
          <w:rFonts w:ascii="Arial" w:eastAsia="Times New Roman" w:hAnsi="Arial" w:cs="Arial"/>
          <w:caps/>
          <w:color w:val="3E4242"/>
          <w:kern w:val="36"/>
          <w:sz w:val="36"/>
          <w:szCs w:val="36"/>
          <w:lang w:eastAsia="en-AU"/>
        </w:rPr>
      </w:pPr>
      <w:r>
        <w:rPr>
          <w:rFonts w:ascii="Arial" w:eastAsia="Times New Roman" w:hAnsi="Arial" w:cs="Arial"/>
          <w:caps/>
          <w:color w:val="3E4242"/>
          <w:kern w:val="36"/>
          <w:sz w:val="36"/>
          <w:szCs w:val="36"/>
          <w:lang w:eastAsia="en-AU"/>
        </w:rPr>
        <w:t xml:space="preserve">               annual Report</w:t>
      </w:r>
    </w:p>
    <w:p w:rsidR="00967E55" w:rsidRDefault="003735B3" w:rsidP="00967E55">
      <w:pPr>
        <w:spacing w:after="0" w:line="240" w:lineRule="atLeast"/>
        <w:outlineLvl w:val="0"/>
        <w:rPr>
          <w:rFonts w:ascii="Arial" w:eastAsia="Times New Roman" w:hAnsi="Arial" w:cs="Arial"/>
          <w:caps/>
          <w:color w:val="3E4242"/>
          <w:kern w:val="36"/>
          <w:sz w:val="36"/>
          <w:szCs w:val="36"/>
          <w:lang w:eastAsia="en-AU"/>
        </w:rPr>
      </w:pPr>
      <w:r>
        <w:rPr>
          <w:rFonts w:ascii="Arial" w:eastAsia="Times New Roman" w:hAnsi="Arial" w:cs="Arial"/>
          <w:caps/>
          <w:color w:val="3E4242"/>
          <w:kern w:val="36"/>
          <w:sz w:val="36"/>
          <w:szCs w:val="36"/>
          <w:lang w:eastAsia="en-AU"/>
        </w:rPr>
        <w:t xml:space="preserve">    </w:t>
      </w:r>
      <w:r w:rsidR="003466AB">
        <w:rPr>
          <w:rFonts w:ascii="Arial" w:eastAsia="Times New Roman" w:hAnsi="Arial" w:cs="Arial"/>
          <w:caps/>
          <w:color w:val="3E4242"/>
          <w:kern w:val="36"/>
          <w:sz w:val="36"/>
          <w:szCs w:val="36"/>
          <w:lang w:eastAsia="en-AU"/>
        </w:rPr>
        <w:t>community</w:t>
      </w:r>
      <w:r>
        <w:rPr>
          <w:rFonts w:ascii="Arial" w:eastAsia="Times New Roman" w:hAnsi="Arial" w:cs="Arial"/>
          <w:caps/>
          <w:color w:val="3E4242"/>
          <w:kern w:val="36"/>
          <w:sz w:val="36"/>
          <w:szCs w:val="36"/>
          <w:lang w:eastAsia="en-AU"/>
        </w:rPr>
        <w:t xml:space="preserve"> DEVELOPMENT</w:t>
      </w:r>
    </w:p>
    <w:p w:rsidR="00967E55" w:rsidRDefault="00967E55" w:rsidP="00967E55">
      <w:pPr>
        <w:spacing w:after="0" w:line="240" w:lineRule="auto"/>
        <w:rPr>
          <w:rFonts w:ascii="Arial" w:eastAsia="Times New Roman" w:hAnsi="Arial" w:cs="Arial"/>
          <w:color w:val="0DBBB4"/>
          <w:sz w:val="24"/>
          <w:szCs w:val="24"/>
          <w:lang w:eastAsia="en-AU"/>
        </w:rPr>
      </w:pPr>
      <w:r>
        <w:rPr>
          <w:rFonts w:ascii="Arial" w:eastAsia="Times New Roman" w:hAnsi="Arial" w:cs="Arial"/>
          <w:b/>
          <w:bCs/>
          <w:color w:val="0DBBB4"/>
          <w:sz w:val="24"/>
          <w:szCs w:val="24"/>
          <w:lang w:eastAsia="en-AU"/>
        </w:rPr>
        <w:t>2022</w:t>
      </w:r>
    </w:p>
    <w:p w:rsidR="00967E55" w:rsidRDefault="00967E55" w:rsidP="00967E55">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w:t>
      </w:r>
    </w:p>
    <w:p w:rsidR="001976B1" w:rsidRDefault="00967E55" w:rsidP="00967E55">
      <w:pPr>
        <w:spacing w:after="240" w:line="480" w:lineRule="atLeast"/>
        <w:rPr>
          <w:rFonts w:ascii="Arial" w:eastAsia="Times New Roman" w:hAnsi="Arial" w:cs="Arial"/>
          <w:color w:val="4A4A4A"/>
          <w:sz w:val="24"/>
          <w:szCs w:val="24"/>
          <w:lang w:eastAsia="en-AU"/>
        </w:rPr>
      </w:pPr>
      <w:r>
        <w:rPr>
          <w:rFonts w:ascii="Arial" w:eastAsia="Times New Roman" w:hAnsi="Arial" w:cs="Arial"/>
          <w:color w:val="4A4A4A"/>
          <w:sz w:val="24"/>
          <w:szCs w:val="24"/>
          <w:lang w:eastAsia="en-AU"/>
        </w:rPr>
        <w:t xml:space="preserve"> Women Against Violence and Expediency Handling Initiative (WAVEHI) NGO </w:t>
      </w:r>
      <w:r w:rsidR="001976B1">
        <w:rPr>
          <w:rFonts w:ascii="Arial" w:eastAsia="Times New Roman" w:hAnsi="Arial" w:cs="Arial"/>
          <w:color w:val="4A4A4A"/>
          <w:sz w:val="24"/>
          <w:szCs w:val="24"/>
          <w:lang w:eastAsia="en-AU"/>
        </w:rPr>
        <w:t xml:space="preserve">in partnership with African Women Development Fund (AWDF) started the community project Titled ‘Sexual Violence and Youth Culture in Festac Community’ in which a series of quarterly capacity building workshops is organised with seasoned speakers that talk extensively on curbing sexual violence and how to prevent sexual violence and forging respectful relationships and information on support systems available to victims of sexual violence. </w:t>
      </w:r>
    </w:p>
    <w:p w:rsidR="00967E55" w:rsidRPr="001976B1" w:rsidRDefault="001976B1" w:rsidP="00967E55">
      <w:pPr>
        <w:spacing w:after="240" w:line="480" w:lineRule="atLeast"/>
        <w:rPr>
          <w:rFonts w:ascii="Arial" w:eastAsia="Times New Roman" w:hAnsi="Arial" w:cs="Arial"/>
          <w:color w:val="4A4A4A"/>
          <w:sz w:val="24"/>
          <w:szCs w:val="24"/>
          <w:lang w:eastAsia="en-AU"/>
        </w:rPr>
      </w:pPr>
      <w:r>
        <w:rPr>
          <w:rFonts w:ascii="Arial" w:eastAsia="Times New Roman" w:hAnsi="Arial" w:cs="Arial"/>
          <w:color w:val="4A4A4A"/>
          <w:sz w:val="24"/>
          <w:szCs w:val="24"/>
          <w:lang w:eastAsia="en-AU"/>
        </w:rPr>
        <w:t xml:space="preserve">WAVEHI also </w:t>
      </w:r>
      <w:r w:rsidR="00967E55" w:rsidRPr="001976B1">
        <w:rPr>
          <w:rFonts w:ascii="Arial" w:eastAsia="Times New Roman" w:hAnsi="Arial" w:cs="Arial"/>
          <w:bCs/>
          <w:color w:val="4A4A4A"/>
          <w:sz w:val="24"/>
          <w:szCs w:val="24"/>
          <w:lang w:eastAsia="en-AU"/>
        </w:rPr>
        <w:t>continued our school programs of sensitizing and raising awareness on sexual health and sexual abuse to secondary school students according to Word Health Organization guidelines. We also collaborated with Women Advocates Research and Documentation Centre for a policy brie</w:t>
      </w:r>
      <w:r w:rsidR="00777DBD">
        <w:rPr>
          <w:rFonts w:ascii="Arial" w:eastAsia="Times New Roman" w:hAnsi="Arial" w:cs="Arial"/>
          <w:bCs/>
          <w:color w:val="4A4A4A"/>
          <w:sz w:val="24"/>
          <w:szCs w:val="24"/>
          <w:lang w:eastAsia="en-AU"/>
        </w:rPr>
        <w:t>f document on a draft charter on</w:t>
      </w:r>
      <w:r w:rsidR="00967E55" w:rsidRPr="001976B1">
        <w:rPr>
          <w:rFonts w:ascii="Arial" w:eastAsia="Times New Roman" w:hAnsi="Arial" w:cs="Arial"/>
          <w:bCs/>
          <w:color w:val="4A4A4A"/>
          <w:sz w:val="24"/>
          <w:szCs w:val="24"/>
          <w:lang w:eastAsia="en-AU"/>
        </w:rPr>
        <w:t xml:space="preserve"> accountability of Covid-10 funds with other Non-governmental Organizations.</w:t>
      </w:r>
    </w:p>
    <w:p w:rsidR="00967E55" w:rsidRDefault="00967E55" w:rsidP="00967E55">
      <w:pPr>
        <w:spacing w:after="0" w:line="480" w:lineRule="atLeast"/>
        <w:rPr>
          <w:rFonts w:ascii="Arial" w:eastAsia="Times New Roman" w:hAnsi="Arial" w:cs="Arial"/>
          <w:color w:val="4A4A4A"/>
          <w:sz w:val="24"/>
          <w:szCs w:val="24"/>
          <w:lang w:eastAsia="en-AU"/>
        </w:rPr>
      </w:pPr>
      <w:r>
        <w:rPr>
          <w:rFonts w:ascii="Arial" w:eastAsia="Times New Roman" w:hAnsi="Arial" w:cs="Arial"/>
          <w:color w:val="4A4A4A"/>
          <w:sz w:val="24"/>
          <w:szCs w:val="24"/>
          <w:lang w:eastAsia="en-AU"/>
        </w:rPr>
        <w:t>WAVEHI</w:t>
      </w:r>
      <w:r w:rsidR="004767E4">
        <w:rPr>
          <w:rFonts w:ascii="Arial" w:eastAsia="Times New Roman" w:hAnsi="Arial" w:cs="Arial"/>
          <w:color w:val="4A4A4A"/>
          <w:sz w:val="24"/>
          <w:szCs w:val="24"/>
          <w:lang w:eastAsia="en-AU"/>
        </w:rPr>
        <w:t>’s</w:t>
      </w:r>
      <w:r>
        <w:rPr>
          <w:rFonts w:ascii="Arial" w:eastAsia="Times New Roman" w:hAnsi="Arial" w:cs="Arial"/>
          <w:color w:val="4A4A4A"/>
          <w:sz w:val="24"/>
          <w:szCs w:val="24"/>
          <w:lang w:eastAsia="en-AU"/>
        </w:rPr>
        <w:t xml:space="preserve"> </w:t>
      </w:r>
      <w:r>
        <w:rPr>
          <w:rFonts w:ascii="Arial" w:eastAsia="Times New Roman" w:hAnsi="Arial" w:cs="Arial"/>
          <w:b/>
          <w:bCs/>
          <w:color w:val="4A4A4A"/>
          <w:sz w:val="24"/>
          <w:szCs w:val="24"/>
          <w:lang w:eastAsia="en-AU"/>
        </w:rPr>
        <w:t>Income of 10,000 US dollar for the year 2022</w:t>
      </w:r>
      <w:r>
        <w:rPr>
          <w:rFonts w:ascii="Arial" w:eastAsia="Times New Roman" w:hAnsi="Arial" w:cs="Arial"/>
          <w:color w:val="4A4A4A"/>
          <w:sz w:val="24"/>
          <w:szCs w:val="24"/>
          <w:lang w:eastAsia="en-AU"/>
        </w:rPr>
        <w:t xml:space="preserve"> concluded step one of our NGO transformation. </w:t>
      </w:r>
    </w:p>
    <w:p w:rsidR="00967E55" w:rsidRPr="00777DBD" w:rsidRDefault="00967E55" w:rsidP="00967E55">
      <w:pPr>
        <w:numPr>
          <w:ilvl w:val="0"/>
          <w:numId w:val="1"/>
        </w:numPr>
        <w:spacing w:after="0" w:line="480" w:lineRule="atLeast"/>
        <w:ind w:left="0"/>
        <w:rPr>
          <w:rFonts w:ascii="Arial" w:eastAsia="Times New Roman" w:hAnsi="Arial" w:cs="Arial"/>
          <w:color w:val="4A4A4A"/>
          <w:sz w:val="24"/>
          <w:szCs w:val="24"/>
          <w:lang w:eastAsia="en-AU"/>
        </w:rPr>
      </w:pPr>
      <w:r w:rsidRPr="00777DBD">
        <w:rPr>
          <w:rFonts w:ascii="Arial" w:eastAsia="Times New Roman" w:hAnsi="Arial" w:cs="Arial"/>
          <w:bCs/>
          <w:color w:val="4A4A4A"/>
          <w:sz w:val="24"/>
          <w:szCs w:val="24"/>
          <w:lang w:eastAsia="en-AU"/>
        </w:rPr>
        <w:t>Distinctive, relevant awareness creation.</w:t>
      </w:r>
      <w:r w:rsidRPr="00777DBD">
        <w:rPr>
          <w:rFonts w:ascii="Arial" w:eastAsia="Times New Roman" w:hAnsi="Arial" w:cs="Arial"/>
          <w:color w:val="4A4A4A"/>
          <w:sz w:val="24"/>
          <w:szCs w:val="24"/>
          <w:lang w:eastAsia="en-AU"/>
        </w:rPr>
        <w:t> We continued with our sensitization and awareness creation on sexual violence in schools amongst adolescents and with the huge success of the program more schools are taking part in the program.</w:t>
      </w:r>
    </w:p>
    <w:p w:rsidR="00967E55" w:rsidRDefault="00967E55" w:rsidP="00967E55">
      <w:pPr>
        <w:numPr>
          <w:ilvl w:val="0"/>
          <w:numId w:val="1"/>
        </w:numPr>
        <w:spacing w:after="0" w:line="480" w:lineRule="atLeast"/>
        <w:ind w:left="0"/>
        <w:rPr>
          <w:rFonts w:ascii="Arial" w:eastAsia="Times New Roman" w:hAnsi="Arial" w:cs="Arial"/>
          <w:color w:val="4A4A4A"/>
          <w:sz w:val="24"/>
          <w:szCs w:val="24"/>
          <w:lang w:eastAsia="en-AU"/>
        </w:rPr>
      </w:pPr>
      <w:r w:rsidRPr="00777DBD">
        <w:rPr>
          <w:rFonts w:ascii="Arial" w:eastAsia="Times New Roman" w:hAnsi="Arial" w:cs="Arial"/>
          <w:bCs/>
          <w:color w:val="4A4A4A"/>
          <w:sz w:val="24"/>
          <w:szCs w:val="24"/>
          <w:lang w:eastAsia="en-AU"/>
        </w:rPr>
        <w:t xml:space="preserve">New project and New Program on sexual violence in the Festac Community in the Amuwo Odofin Local Governmnet Area. The program is community led development planning project funded by African Women Development Fund (AWDF) that involves sensitization and awareness on sexual violence and encouraging more girls to speak out against sexual violence. WAVEHI would also be training facilitators for the program and will be collaborating with other NGO towards the </w:t>
      </w:r>
      <w:r w:rsidR="00777DBD" w:rsidRPr="00777DBD">
        <w:rPr>
          <w:rFonts w:ascii="Arial" w:eastAsia="Times New Roman" w:hAnsi="Arial" w:cs="Arial"/>
          <w:bCs/>
          <w:color w:val="4A4A4A"/>
          <w:sz w:val="24"/>
          <w:szCs w:val="24"/>
          <w:lang w:eastAsia="en-AU"/>
        </w:rPr>
        <w:t xml:space="preserve">actualization of the </w:t>
      </w:r>
      <w:r w:rsidR="00777DBD" w:rsidRPr="00777DBD">
        <w:rPr>
          <w:rFonts w:ascii="Arial" w:eastAsia="Times New Roman" w:hAnsi="Arial" w:cs="Arial"/>
          <w:bCs/>
          <w:color w:val="4A4A4A"/>
          <w:sz w:val="24"/>
          <w:szCs w:val="24"/>
          <w:lang w:eastAsia="en-AU"/>
        </w:rPr>
        <w:lastRenderedPageBreak/>
        <w:t>program with</w:t>
      </w:r>
      <w:r w:rsidRPr="00777DBD">
        <w:rPr>
          <w:rFonts w:ascii="Arial" w:eastAsia="Times New Roman" w:hAnsi="Arial" w:cs="Arial"/>
          <w:bCs/>
          <w:color w:val="4A4A4A"/>
          <w:sz w:val="24"/>
          <w:szCs w:val="24"/>
          <w:lang w:eastAsia="en-AU"/>
        </w:rPr>
        <w:t xml:space="preserve"> community stakeholders. The program will run from 2021 through 2024.</w:t>
      </w:r>
    </w:p>
    <w:p w:rsidR="00967E55" w:rsidRDefault="00967E55" w:rsidP="00967E55">
      <w:pPr>
        <w:numPr>
          <w:ilvl w:val="0"/>
          <w:numId w:val="1"/>
        </w:numPr>
        <w:spacing w:after="0" w:line="480" w:lineRule="atLeast"/>
        <w:ind w:left="0"/>
        <w:rPr>
          <w:rFonts w:ascii="Arial" w:eastAsia="Times New Roman" w:hAnsi="Arial" w:cs="Arial"/>
          <w:color w:val="4A4A4A"/>
          <w:sz w:val="24"/>
          <w:szCs w:val="24"/>
          <w:lang w:eastAsia="en-AU"/>
        </w:rPr>
      </w:pPr>
      <w:r>
        <w:rPr>
          <w:rFonts w:ascii="Arial" w:eastAsia="Times New Roman" w:hAnsi="Arial" w:cs="Arial"/>
          <w:b/>
          <w:bCs/>
          <w:color w:val="4A4A4A"/>
          <w:sz w:val="24"/>
          <w:szCs w:val="24"/>
          <w:lang w:eastAsia="en-AU"/>
        </w:rPr>
        <w:t>Laudable development.</w:t>
      </w:r>
      <w:r>
        <w:rPr>
          <w:rFonts w:ascii="Arial" w:eastAsia="Times New Roman" w:hAnsi="Arial" w:cs="Arial"/>
          <w:color w:val="4A4A4A"/>
          <w:sz w:val="24"/>
          <w:szCs w:val="24"/>
          <w:lang w:eastAsia="en-AU"/>
        </w:rPr>
        <w:t xml:space="preserve"> WAVEHI will be training 5 women who will engage community stakeholders on the need to eliminate sexual violence against women and girls. </w:t>
      </w:r>
    </w:p>
    <w:p w:rsidR="00967E55" w:rsidRDefault="00967E55" w:rsidP="00967E55">
      <w:pPr>
        <w:numPr>
          <w:ilvl w:val="0"/>
          <w:numId w:val="1"/>
        </w:numPr>
        <w:spacing w:after="360" w:line="480" w:lineRule="atLeast"/>
        <w:ind w:left="0"/>
        <w:rPr>
          <w:rFonts w:ascii="Arial" w:eastAsia="Times New Roman" w:hAnsi="Arial" w:cs="Arial"/>
          <w:color w:val="4A4A4A"/>
          <w:sz w:val="24"/>
          <w:szCs w:val="24"/>
          <w:lang w:eastAsia="en-AU"/>
        </w:rPr>
      </w:pPr>
      <w:r w:rsidRPr="004D3584">
        <w:rPr>
          <w:rFonts w:ascii="Arial" w:eastAsia="Times New Roman" w:hAnsi="Arial" w:cs="Arial"/>
          <w:b/>
          <w:bCs/>
          <w:color w:val="4A4A4A"/>
          <w:sz w:val="24"/>
          <w:szCs w:val="24"/>
          <w:lang w:eastAsia="en-AU"/>
        </w:rPr>
        <w:t>Great perseverance.</w:t>
      </w:r>
      <w:r w:rsidRPr="004D3584">
        <w:rPr>
          <w:rFonts w:ascii="Arial" w:eastAsia="Times New Roman" w:hAnsi="Arial" w:cs="Arial"/>
          <w:color w:val="4A4A4A"/>
          <w:sz w:val="24"/>
          <w:szCs w:val="24"/>
          <w:lang w:eastAsia="en-AU"/>
        </w:rPr>
        <w:t> WAVEHI as an organisation persevered through the pandemic and with the on surge of the omicron variant, new cooperation with more determination to beat the pandemic and the antecedent shadow pandemic. This brought a renewed determination and great perseverance to keep going and impacting the women and girls who have been most affected by it.</w:t>
      </w:r>
    </w:p>
    <w:p w:rsidR="004767E4" w:rsidRPr="004767E4" w:rsidRDefault="004767E4" w:rsidP="004767E4">
      <w:pPr>
        <w:numPr>
          <w:ilvl w:val="0"/>
          <w:numId w:val="1"/>
        </w:numPr>
        <w:spacing w:after="360" w:line="480" w:lineRule="atLeast"/>
        <w:ind w:left="0"/>
        <w:rPr>
          <w:rFonts w:ascii="Arial" w:eastAsia="Times New Roman" w:hAnsi="Arial" w:cs="Arial"/>
          <w:color w:val="4A4A4A"/>
          <w:sz w:val="24"/>
          <w:szCs w:val="24"/>
          <w:lang w:eastAsia="en-AU"/>
        </w:rPr>
      </w:pPr>
      <w:r>
        <w:rPr>
          <w:rFonts w:ascii="Arial" w:eastAsia="Times New Roman" w:hAnsi="Arial" w:cs="Arial"/>
          <w:bCs/>
          <w:color w:val="4A4A4A"/>
          <w:sz w:val="24"/>
          <w:szCs w:val="24"/>
          <w:lang w:eastAsia="en-AU"/>
        </w:rPr>
        <w:t>Our founder, Lara Rowland commenced her media advocacy on naija health radio with the radio show ‘Lets talk SGBV’ on Instagram.</w:t>
      </w:r>
      <w:r>
        <w:rPr>
          <w:rFonts w:ascii="Arial" w:eastAsia="Times New Roman" w:hAnsi="Arial" w:cs="Arial"/>
          <w:color w:val="4A4A4A"/>
          <w:sz w:val="24"/>
          <w:szCs w:val="24"/>
          <w:lang w:eastAsia="en-AU"/>
        </w:rPr>
        <w:t xml:space="preserve"> She also wrote a couple of articles on Buzz news online to commemorate 16 day of activism on the international day on the elimination of violence against violence.</w:t>
      </w:r>
    </w:p>
    <w:p w:rsidR="00967E55" w:rsidRPr="004D3584" w:rsidRDefault="004767E4" w:rsidP="00967E55">
      <w:pPr>
        <w:spacing w:after="360" w:line="480" w:lineRule="atLeast"/>
        <w:rPr>
          <w:rFonts w:ascii="Arial" w:eastAsia="Times New Roman" w:hAnsi="Arial" w:cs="Arial"/>
          <w:color w:val="4A4A4A"/>
          <w:sz w:val="24"/>
          <w:szCs w:val="24"/>
          <w:lang w:eastAsia="en-AU"/>
        </w:rPr>
      </w:pPr>
      <w:r>
        <w:rPr>
          <w:rFonts w:ascii="Arial" w:eastAsia="Times New Roman" w:hAnsi="Arial" w:cs="Arial"/>
          <w:color w:val="4A4A4A"/>
          <w:sz w:val="24"/>
          <w:szCs w:val="24"/>
          <w:lang w:eastAsia="en-AU"/>
        </w:rPr>
        <w:t>2023</w:t>
      </w:r>
      <w:r w:rsidR="00967E55">
        <w:rPr>
          <w:rFonts w:ascii="Arial" w:eastAsia="Times New Roman" w:hAnsi="Arial" w:cs="Arial"/>
          <w:color w:val="4A4A4A"/>
          <w:sz w:val="24"/>
          <w:szCs w:val="24"/>
          <w:lang w:eastAsia="en-AU"/>
        </w:rPr>
        <w:t xml:space="preserve"> promises to be a greater year</w:t>
      </w:r>
      <w:r w:rsidR="00967E55" w:rsidRPr="004D3584">
        <w:rPr>
          <w:rFonts w:ascii="Arial" w:eastAsia="Times New Roman" w:hAnsi="Arial" w:cs="Arial"/>
          <w:color w:val="4A4A4A"/>
          <w:sz w:val="24"/>
          <w:szCs w:val="24"/>
          <w:lang w:eastAsia="en-AU"/>
        </w:rPr>
        <w:t>, whereby we intend to limit violent and sexual abuse against women and girls</w:t>
      </w:r>
      <w:r w:rsidR="00967E55">
        <w:rPr>
          <w:rFonts w:ascii="Arial" w:eastAsia="Times New Roman" w:hAnsi="Arial" w:cs="Arial"/>
          <w:color w:val="4A4A4A"/>
          <w:sz w:val="24"/>
          <w:szCs w:val="24"/>
          <w:lang w:eastAsia="en-AU"/>
        </w:rPr>
        <w:t xml:space="preserve"> with the continuation of our current project with AWDF on sexual violence in the Festac Community. None the less, </w:t>
      </w:r>
      <w:r>
        <w:rPr>
          <w:rFonts w:ascii="Arial" w:eastAsia="Times New Roman" w:hAnsi="Arial" w:cs="Arial"/>
          <w:color w:val="4A4A4A"/>
          <w:sz w:val="24"/>
          <w:szCs w:val="24"/>
          <w:lang w:eastAsia="en-AU"/>
        </w:rPr>
        <w:t xml:space="preserve">we are </w:t>
      </w:r>
      <w:r w:rsidR="00967E55">
        <w:rPr>
          <w:rFonts w:ascii="Arial" w:eastAsia="Times New Roman" w:hAnsi="Arial" w:cs="Arial"/>
          <w:color w:val="4A4A4A"/>
          <w:sz w:val="24"/>
          <w:szCs w:val="24"/>
          <w:lang w:eastAsia="en-AU"/>
        </w:rPr>
        <w:t xml:space="preserve">pleased </w:t>
      </w:r>
      <w:r>
        <w:rPr>
          <w:rFonts w:ascii="Arial" w:eastAsia="Times New Roman" w:hAnsi="Arial" w:cs="Arial"/>
          <w:color w:val="4A4A4A"/>
          <w:sz w:val="24"/>
          <w:szCs w:val="24"/>
          <w:lang w:eastAsia="en-AU"/>
        </w:rPr>
        <w:t>to deliver a strong year in 2022</w:t>
      </w:r>
      <w:r w:rsidR="00967E55">
        <w:rPr>
          <w:rFonts w:ascii="Arial" w:eastAsia="Times New Roman" w:hAnsi="Arial" w:cs="Arial"/>
          <w:color w:val="4A4A4A"/>
          <w:sz w:val="24"/>
          <w:szCs w:val="24"/>
          <w:lang w:eastAsia="en-AU"/>
        </w:rPr>
        <w:t>.</w:t>
      </w:r>
    </w:p>
    <w:p w:rsidR="00967E55" w:rsidRPr="00AC4B6B" w:rsidRDefault="00967E55" w:rsidP="00967E55">
      <w:pPr>
        <w:numPr>
          <w:ilvl w:val="0"/>
          <w:numId w:val="2"/>
        </w:numPr>
        <w:spacing w:after="0" w:line="480" w:lineRule="atLeast"/>
        <w:ind w:left="0"/>
        <w:rPr>
          <w:rFonts w:ascii="Arial" w:eastAsia="Times New Roman" w:hAnsi="Arial" w:cs="Arial"/>
          <w:b/>
          <w:bCs/>
          <w:color w:val="4A4A4A"/>
          <w:sz w:val="24"/>
          <w:szCs w:val="24"/>
          <w:lang w:eastAsia="en-AU"/>
        </w:rPr>
      </w:pPr>
      <w:r w:rsidRPr="00AC4B6B">
        <w:rPr>
          <w:rFonts w:ascii="Arial" w:eastAsia="Times New Roman" w:hAnsi="Arial" w:cs="Arial"/>
          <w:b/>
          <w:bCs/>
          <w:color w:val="4A4A4A"/>
          <w:sz w:val="24"/>
          <w:szCs w:val="24"/>
          <w:lang w:eastAsia="en-AU"/>
        </w:rPr>
        <w:t xml:space="preserve">WAVEHI with a different outlook </w:t>
      </w:r>
      <w:r w:rsidRPr="00AC4B6B">
        <w:rPr>
          <w:rFonts w:ascii="Arial" w:eastAsia="Times New Roman" w:hAnsi="Arial" w:cs="Arial"/>
          <w:color w:val="4A4A4A"/>
          <w:sz w:val="24"/>
          <w:szCs w:val="24"/>
          <w:lang w:eastAsia="en-AU"/>
        </w:rPr>
        <w:t xml:space="preserve">has returned to the basics with clear core value aimed at improved community interaction and awareness creation on Violence (sexual violence) against women and girls and on sexual health reproductive rights. </w:t>
      </w:r>
    </w:p>
    <w:p w:rsidR="00967E55" w:rsidRDefault="00967E55" w:rsidP="00967E55">
      <w:pPr>
        <w:numPr>
          <w:ilvl w:val="0"/>
          <w:numId w:val="2"/>
        </w:numPr>
        <w:spacing w:after="0" w:line="480" w:lineRule="atLeast"/>
        <w:ind w:left="0"/>
        <w:rPr>
          <w:rFonts w:ascii="Arial" w:eastAsia="Times New Roman" w:hAnsi="Arial" w:cs="Arial"/>
          <w:color w:val="4A4A4A"/>
          <w:sz w:val="24"/>
          <w:szCs w:val="24"/>
          <w:lang w:eastAsia="en-AU"/>
        </w:rPr>
      </w:pPr>
      <w:r w:rsidRPr="00AC4B6B">
        <w:rPr>
          <w:rFonts w:ascii="Arial" w:eastAsia="Times New Roman" w:hAnsi="Arial" w:cs="Arial"/>
          <w:b/>
          <w:bCs/>
          <w:color w:val="4A4A4A"/>
          <w:sz w:val="24"/>
          <w:szCs w:val="24"/>
          <w:lang w:eastAsia="en-AU"/>
        </w:rPr>
        <w:t xml:space="preserve">WAVEHI </w:t>
      </w:r>
      <w:r w:rsidRPr="00AC4B6B">
        <w:rPr>
          <w:rFonts w:ascii="Arial" w:eastAsia="Times New Roman" w:hAnsi="Arial" w:cs="Arial"/>
          <w:color w:val="4A4A4A"/>
          <w:sz w:val="24"/>
          <w:szCs w:val="24"/>
          <w:lang w:eastAsia="en-AU"/>
        </w:rPr>
        <w:t>succeeds with its value-driven, innovation-focused model. We are pleased with our ability to deliver solid results</w:t>
      </w:r>
      <w:r w:rsidR="004767E4">
        <w:rPr>
          <w:rFonts w:ascii="Arial" w:eastAsia="Times New Roman" w:hAnsi="Arial" w:cs="Arial"/>
          <w:color w:val="4A4A4A"/>
          <w:sz w:val="24"/>
          <w:szCs w:val="24"/>
          <w:lang w:eastAsia="en-AU"/>
        </w:rPr>
        <w:t xml:space="preserve"> and our track record remains very laudable</w:t>
      </w:r>
      <w:r w:rsidRPr="00AC4B6B">
        <w:rPr>
          <w:rFonts w:ascii="Arial" w:eastAsia="Times New Roman" w:hAnsi="Arial" w:cs="Arial"/>
          <w:color w:val="4A4A4A"/>
          <w:sz w:val="24"/>
          <w:szCs w:val="24"/>
          <w:lang w:eastAsia="en-AU"/>
        </w:rPr>
        <w:t xml:space="preserve">. </w:t>
      </w:r>
    </w:p>
    <w:p w:rsidR="004767E4" w:rsidRDefault="004767E4" w:rsidP="00777DBD">
      <w:pPr>
        <w:spacing w:after="0" w:line="480" w:lineRule="atLeast"/>
        <w:rPr>
          <w:rFonts w:ascii="Arial" w:eastAsia="Times New Roman" w:hAnsi="Arial" w:cs="Arial"/>
          <w:color w:val="4A4A4A"/>
          <w:sz w:val="24"/>
          <w:szCs w:val="24"/>
          <w:lang w:eastAsia="en-AU"/>
        </w:rPr>
      </w:pPr>
    </w:p>
    <w:p w:rsidR="00967E55" w:rsidRDefault="00967E55" w:rsidP="00967E55">
      <w:pPr>
        <w:spacing w:after="0" w:line="480" w:lineRule="atLeast"/>
        <w:rPr>
          <w:rFonts w:ascii="Arial" w:eastAsia="Times New Roman" w:hAnsi="Arial" w:cs="Arial"/>
          <w:b/>
          <w:bCs/>
          <w:color w:val="4A4A4A"/>
          <w:sz w:val="24"/>
          <w:szCs w:val="24"/>
          <w:lang w:eastAsia="en-AU"/>
        </w:rPr>
      </w:pPr>
      <w:r>
        <w:rPr>
          <w:rFonts w:ascii="Arial" w:eastAsia="Times New Roman" w:hAnsi="Arial" w:cs="Arial"/>
          <w:b/>
          <w:bCs/>
          <w:color w:val="4A4A4A"/>
          <w:sz w:val="24"/>
          <w:szCs w:val="24"/>
          <w:lang w:eastAsia="en-AU"/>
        </w:rPr>
        <w:t xml:space="preserve">Funke Olowosegun (Head/Chair)     </w:t>
      </w:r>
      <w:r>
        <w:rPr>
          <w:rFonts w:ascii="Arial" w:eastAsia="Times New Roman" w:hAnsi="Arial" w:cs="Arial"/>
          <w:b/>
          <w:bCs/>
          <w:color w:val="4A4A4A"/>
          <w:sz w:val="24"/>
          <w:szCs w:val="24"/>
          <w:lang w:eastAsia="en-AU"/>
        </w:rPr>
        <w:tab/>
        <w:t xml:space="preserve">Lara Rowland (Founder/Coordinator)                                      </w:t>
      </w:r>
    </w:p>
    <w:p w:rsidR="00967E55" w:rsidRDefault="00967E55" w:rsidP="00967E55">
      <w:pPr>
        <w:spacing w:after="0" w:line="480" w:lineRule="atLeast"/>
        <w:rPr>
          <w:rFonts w:ascii="Arial" w:eastAsia="Times New Roman" w:hAnsi="Arial" w:cs="Arial"/>
          <w:color w:val="4A4A4A"/>
          <w:sz w:val="24"/>
          <w:szCs w:val="24"/>
          <w:lang w:eastAsia="en-AU"/>
        </w:rPr>
      </w:pPr>
      <w:r>
        <w:rPr>
          <w:rFonts w:ascii="Arial" w:eastAsia="Times New Roman" w:hAnsi="Arial" w:cs="Arial"/>
          <w:b/>
          <w:bCs/>
          <w:color w:val="4A4A4A"/>
          <w:sz w:val="24"/>
          <w:szCs w:val="24"/>
          <w:lang w:eastAsia="en-AU"/>
        </w:rPr>
        <w:t>Women against Violence and Expediency handling initiative (WAVEHI)</w:t>
      </w:r>
    </w:p>
    <w:p w:rsidR="00967E55" w:rsidRDefault="00967E55" w:rsidP="00967E55">
      <w:pPr>
        <w:spacing w:after="0" w:line="240" w:lineRule="atLeast"/>
        <w:outlineLvl w:val="0"/>
        <w:rPr>
          <w:rFonts w:ascii="Arial" w:eastAsia="Times New Roman" w:hAnsi="Arial" w:cs="Arial"/>
          <w:color w:val="808080"/>
          <w:sz w:val="24"/>
          <w:szCs w:val="24"/>
          <w:lang w:eastAsia="en-AU"/>
        </w:rPr>
      </w:pPr>
    </w:p>
    <w:p w:rsidR="00967E55" w:rsidRDefault="00967E55" w:rsidP="00967E55">
      <w:pPr>
        <w:spacing w:after="0" w:line="240" w:lineRule="atLeast"/>
        <w:outlineLvl w:val="0"/>
      </w:pPr>
    </w:p>
    <w:p w:rsidR="00967E55" w:rsidRDefault="00967E55" w:rsidP="00967E55">
      <w:pPr>
        <w:spacing w:after="0" w:line="240" w:lineRule="atLeast"/>
        <w:outlineLvl w:val="0"/>
      </w:pPr>
    </w:p>
    <w:p w:rsidR="00967E55" w:rsidRDefault="00967E55" w:rsidP="00967E55">
      <w:pPr>
        <w:spacing w:after="0" w:line="240" w:lineRule="atLeast"/>
        <w:outlineLvl w:val="0"/>
      </w:pPr>
    </w:p>
    <w:p w:rsidR="00967E55" w:rsidRDefault="00967E55" w:rsidP="00967E55">
      <w:pPr>
        <w:spacing w:after="0" w:line="240" w:lineRule="atLeast"/>
        <w:outlineLvl w:val="0"/>
        <w:rPr>
          <w:rFonts w:ascii="Arial" w:eastAsia="Times New Roman" w:hAnsi="Arial" w:cs="Arial"/>
          <w:caps/>
          <w:color w:val="FFFFFF"/>
          <w:kern w:val="36"/>
          <w:sz w:val="46"/>
          <w:szCs w:val="46"/>
          <w:lang w:eastAsia="en-AU"/>
        </w:rPr>
      </w:pPr>
      <w:hyperlink r:id="rId7" w:tgtFrame="_blank" w:history="1">
        <w:r>
          <w:rPr>
            <w:rStyle w:val="Hyperlink"/>
            <w:rFonts w:ascii="Arial" w:eastAsia="Times New Roman" w:hAnsi="Arial" w:cs="Arial"/>
            <w:sz w:val="24"/>
            <w:szCs w:val="24"/>
            <w:lang w:eastAsia="en-AU"/>
          </w:rPr>
          <w:t>Download Financials</w:t>
        </w:r>
      </w:hyperlink>
    </w:p>
    <w:tbl>
      <w:tblPr>
        <w:tblW w:w="6931" w:type="dxa"/>
        <w:tblCellMar>
          <w:left w:w="0" w:type="dxa"/>
          <w:right w:w="0" w:type="dxa"/>
        </w:tblCellMar>
        <w:tblLook w:val="04A0"/>
      </w:tblPr>
      <w:tblGrid>
        <w:gridCol w:w="5142"/>
        <w:gridCol w:w="708"/>
        <w:gridCol w:w="669"/>
        <w:gridCol w:w="412"/>
      </w:tblGrid>
      <w:tr w:rsidR="00967E55" w:rsidTr="007C05CE">
        <w:trPr>
          <w:trHeight w:val="428"/>
        </w:trPr>
        <w:tc>
          <w:tcPr>
            <w:tcW w:w="0" w:type="auto"/>
            <w:tcBorders>
              <w:top w:val="nil"/>
              <w:left w:val="nil"/>
              <w:bottom w:val="single" w:sz="4" w:space="0" w:color="FFFFFF"/>
              <w:right w:val="nil"/>
            </w:tcBorders>
            <w:tcMar>
              <w:top w:w="48" w:type="dxa"/>
              <w:left w:w="120" w:type="dxa"/>
              <w:bottom w:w="48" w:type="dxa"/>
              <w:right w:w="120" w:type="dxa"/>
            </w:tcMar>
            <w:vAlign w:val="bottom"/>
          </w:tcPr>
          <w:p w:rsidR="00967E55" w:rsidRDefault="00967E55" w:rsidP="007C05CE">
            <w:pPr>
              <w:spacing w:after="0" w:line="240" w:lineRule="auto"/>
              <w:rPr>
                <w:rFonts w:ascii="Arial" w:eastAsia="Times New Roman" w:hAnsi="Arial" w:cs="Arial"/>
                <w:sz w:val="17"/>
                <w:szCs w:val="17"/>
                <w:lang w:eastAsia="en-AU"/>
              </w:rPr>
            </w:pPr>
          </w:p>
          <w:p w:rsidR="00967E55" w:rsidRDefault="00967E55" w:rsidP="007C05CE">
            <w:pPr>
              <w:spacing w:after="0" w:line="240" w:lineRule="auto"/>
              <w:rPr>
                <w:rFonts w:ascii="Arial" w:eastAsia="Times New Roman" w:hAnsi="Arial" w:cs="Arial"/>
                <w:sz w:val="17"/>
                <w:szCs w:val="17"/>
                <w:lang w:eastAsia="en-AU"/>
              </w:rPr>
            </w:pPr>
          </w:p>
          <w:p w:rsidR="00967E55" w:rsidRDefault="00967E55" w:rsidP="007C05CE">
            <w:pPr>
              <w:spacing w:after="0" w:line="240" w:lineRule="auto"/>
              <w:rPr>
                <w:rFonts w:ascii="Arial" w:eastAsia="Times New Roman" w:hAnsi="Arial" w:cs="Arial"/>
                <w:sz w:val="17"/>
                <w:szCs w:val="17"/>
                <w:lang w:eastAsia="en-AU"/>
              </w:rPr>
            </w:pPr>
            <w:r>
              <w:rPr>
                <w:rFonts w:ascii="Arial" w:eastAsia="Times New Roman" w:hAnsi="Arial" w:cs="Arial"/>
                <w:sz w:val="17"/>
                <w:szCs w:val="17"/>
                <w:lang w:eastAsia="en-AU"/>
              </w:rPr>
              <w:t>(In dollars)</w:t>
            </w:r>
            <w:r>
              <w:rPr>
                <w:rFonts w:ascii="Arial" w:eastAsia="Times New Roman" w:hAnsi="Arial" w:cs="Arial"/>
                <w:sz w:val="17"/>
                <w:szCs w:val="17"/>
                <w:lang w:eastAsia="en-AU"/>
              </w:rPr>
              <w:br/>
            </w:r>
          </w:p>
        </w:tc>
        <w:tc>
          <w:tcPr>
            <w:tcW w:w="0" w:type="auto"/>
            <w:tcBorders>
              <w:top w:val="nil"/>
              <w:left w:val="nil"/>
              <w:bottom w:val="single" w:sz="4" w:space="0" w:color="FFFFFF"/>
              <w:right w:val="nil"/>
            </w:tcBorders>
            <w:tcMar>
              <w:top w:w="48" w:type="dxa"/>
              <w:left w:w="120" w:type="dxa"/>
              <w:bottom w:w="48" w:type="dxa"/>
              <w:right w:w="120" w:type="dxa"/>
            </w:tcMar>
            <w:vAlign w:val="bottom"/>
            <w:hideMark/>
          </w:tcPr>
          <w:p w:rsidR="00967E55" w:rsidRDefault="00967E55" w:rsidP="007C05CE">
            <w:pPr>
              <w:spacing w:after="0" w:line="240" w:lineRule="auto"/>
              <w:jc w:val="right"/>
              <w:rPr>
                <w:rFonts w:ascii="Arial" w:eastAsia="Times New Roman" w:hAnsi="Arial" w:cs="Arial"/>
                <w:sz w:val="14"/>
                <w:szCs w:val="14"/>
                <w:lang w:eastAsia="en-AU"/>
              </w:rPr>
            </w:pPr>
            <w:r>
              <w:rPr>
                <w:rFonts w:ascii="Arial" w:eastAsia="Times New Roman" w:hAnsi="Arial" w:cs="Arial"/>
                <w:b/>
                <w:bCs/>
                <w:sz w:val="14"/>
                <w:lang w:eastAsia="en-AU"/>
              </w:rPr>
              <w:t>202</w:t>
            </w:r>
            <w:r w:rsidR="00777DBD">
              <w:rPr>
                <w:rFonts w:ascii="Arial" w:eastAsia="Times New Roman" w:hAnsi="Arial" w:cs="Arial"/>
                <w:b/>
                <w:bCs/>
                <w:sz w:val="14"/>
                <w:lang w:eastAsia="en-AU"/>
              </w:rPr>
              <w:t>2</w:t>
            </w:r>
          </w:p>
        </w:tc>
        <w:tc>
          <w:tcPr>
            <w:tcW w:w="0" w:type="auto"/>
            <w:tcBorders>
              <w:top w:val="nil"/>
              <w:left w:val="nil"/>
              <w:bottom w:val="single" w:sz="4" w:space="0" w:color="FFFFFF"/>
              <w:right w:val="nil"/>
            </w:tcBorders>
            <w:tcMar>
              <w:top w:w="48" w:type="dxa"/>
              <w:left w:w="120" w:type="dxa"/>
              <w:bottom w:w="48" w:type="dxa"/>
              <w:right w:w="120" w:type="dxa"/>
            </w:tcMar>
            <w:vAlign w:val="bottom"/>
            <w:hideMark/>
          </w:tcPr>
          <w:p w:rsidR="00967E55" w:rsidRDefault="00967E55" w:rsidP="007C05CE">
            <w:pPr>
              <w:spacing w:after="0" w:line="240" w:lineRule="auto"/>
              <w:jc w:val="right"/>
              <w:rPr>
                <w:rFonts w:ascii="Arial" w:eastAsia="Times New Roman" w:hAnsi="Arial" w:cs="Arial"/>
                <w:sz w:val="14"/>
                <w:szCs w:val="14"/>
                <w:lang w:eastAsia="en-AU"/>
              </w:rPr>
            </w:pPr>
            <w:r>
              <w:rPr>
                <w:rFonts w:ascii="Arial" w:eastAsia="Times New Roman" w:hAnsi="Arial" w:cs="Arial"/>
                <w:b/>
                <w:bCs/>
                <w:sz w:val="14"/>
                <w:lang w:eastAsia="en-AU"/>
              </w:rPr>
              <w:t>202</w:t>
            </w:r>
            <w:r w:rsidR="004767E4">
              <w:rPr>
                <w:rFonts w:ascii="Arial" w:eastAsia="Times New Roman" w:hAnsi="Arial" w:cs="Arial"/>
                <w:b/>
                <w:bCs/>
                <w:sz w:val="14"/>
                <w:lang w:eastAsia="en-AU"/>
              </w:rPr>
              <w:t>1</w:t>
            </w:r>
          </w:p>
        </w:tc>
        <w:tc>
          <w:tcPr>
            <w:tcW w:w="0" w:type="auto"/>
            <w:tcBorders>
              <w:top w:val="nil"/>
              <w:left w:val="nil"/>
              <w:bottom w:val="single" w:sz="4" w:space="0" w:color="FFFFFF"/>
              <w:right w:val="nil"/>
            </w:tcBorders>
            <w:tcMar>
              <w:top w:w="48" w:type="dxa"/>
              <w:left w:w="120" w:type="dxa"/>
              <w:bottom w:w="48" w:type="dxa"/>
              <w:right w:w="120" w:type="dxa"/>
            </w:tcMar>
            <w:vAlign w:val="bottom"/>
            <w:hideMark/>
          </w:tcPr>
          <w:p w:rsidR="00967E55" w:rsidRDefault="00967E55" w:rsidP="007C05CE">
            <w:pPr>
              <w:spacing w:after="0"/>
            </w:pPr>
          </w:p>
        </w:tc>
      </w:tr>
      <w:tr w:rsidR="00967E55" w:rsidTr="007C05CE">
        <w:trPr>
          <w:trHeight w:val="214"/>
        </w:trPr>
        <w:tc>
          <w:tcPr>
            <w:tcW w:w="0" w:type="auto"/>
            <w:tcMar>
              <w:top w:w="48" w:type="dxa"/>
              <w:left w:w="120" w:type="dxa"/>
              <w:bottom w:w="48" w:type="dxa"/>
              <w:right w:w="120" w:type="dxa"/>
            </w:tcMar>
            <w:vAlign w:val="center"/>
            <w:hideMark/>
          </w:tcPr>
          <w:p w:rsidR="00967E55" w:rsidRDefault="00967E55" w:rsidP="007C05CE">
            <w:pPr>
              <w:spacing w:after="0" w:line="240" w:lineRule="auto"/>
              <w:rPr>
                <w:rFonts w:ascii="Arial" w:eastAsia="Times New Roman" w:hAnsi="Arial" w:cs="Arial"/>
                <w:sz w:val="17"/>
                <w:szCs w:val="17"/>
                <w:lang w:eastAsia="en-AU"/>
              </w:rPr>
            </w:pPr>
            <w:r>
              <w:rPr>
                <w:rFonts w:ascii="Arial" w:eastAsia="Times New Roman" w:hAnsi="Arial" w:cs="Arial"/>
                <w:sz w:val="17"/>
                <w:szCs w:val="17"/>
                <w:lang w:eastAsia="en-AU"/>
              </w:rPr>
              <w:t>Community collaboration for project (including AWDF grant)</w:t>
            </w:r>
          </w:p>
        </w:tc>
        <w:tc>
          <w:tcPr>
            <w:tcW w:w="0" w:type="auto"/>
            <w:tcMar>
              <w:top w:w="48" w:type="dxa"/>
              <w:left w:w="120" w:type="dxa"/>
              <w:bottom w:w="48" w:type="dxa"/>
              <w:right w:w="120" w:type="dxa"/>
            </w:tcMar>
            <w:vAlign w:val="center"/>
            <w:hideMark/>
          </w:tcPr>
          <w:p w:rsidR="00967E55" w:rsidRDefault="00777DBD" w:rsidP="007C05CE">
            <w:pPr>
              <w:spacing w:after="0" w:line="240" w:lineRule="auto"/>
              <w:rPr>
                <w:rFonts w:ascii="Arial" w:eastAsia="Times New Roman" w:hAnsi="Arial" w:cs="Arial"/>
                <w:sz w:val="14"/>
                <w:szCs w:val="14"/>
                <w:lang w:eastAsia="en-AU"/>
              </w:rPr>
            </w:pPr>
            <w:r>
              <w:rPr>
                <w:rFonts w:ascii="Arial" w:eastAsia="Times New Roman" w:hAnsi="Arial" w:cs="Arial"/>
                <w:sz w:val="14"/>
                <w:szCs w:val="14"/>
                <w:lang w:eastAsia="en-AU"/>
              </w:rPr>
              <w:t>$70</w:t>
            </w:r>
            <w:r w:rsidR="00967E55">
              <w:rPr>
                <w:rFonts w:ascii="Arial" w:eastAsia="Times New Roman" w:hAnsi="Arial" w:cs="Arial"/>
                <w:sz w:val="14"/>
                <w:szCs w:val="14"/>
                <w:lang w:eastAsia="en-AU"/>
              </w:rPr>
              <w:t>00</w:t>
            </w:r>
          </w:p>
        </w:tc>
        <w:tc>
          <w:tcPr>
            <w:tcW w:w="0" w:type="auto"/>
            <w:tcMar>
              <w:top w:w="48" w:type="dxa"/>
              <w:left w:w="120" w:type="dxa"/>
              <w:bottom w:w="48" w:type="dxa"/>
              <w:right w:w="120" w:type="dxa"/>
            </w:tcMar>
            <w:vAlign w:val="center"/>
            <w:hideMark/>
          </w:tcPr>
          <w:p w:rsidR="00967E55" w:rsidRDefault="004767E4" w:rsidP="007C05CE">
            <w:pPr>
              <w:spacing w:after="0" w:line="240" w:lineRule="auto"/>
              <w:jc w:val="right"/>
              <w:rPr>
                <w:rFonts w:ascii="Arial" w:eastAsia="Times New Roman" w:hAnsi="Arial" w:cs="Arial"/>
                <w:sz w:val="14"/>
                <w:szCs w:val="14"/>
                <w:lang w:eastAsia="en-AU"/>
              </w:rPr>
            </w:pPr>
            <w:r>
              <w:rPr>
                <w:rFonts w:ascii="Arial" w:eastAsia="Times New Roman" w:hAnsi="Arial" w:cs="Arial"/>
                <w:sz w:val="14"/>
                <w:szCs w:val="14"/>
                <w:lang w:eastAsia="en-AU"/>
              </w:rPr>
              <w:t>$3</w:t>
            </w:r>
            <w:r w:rsidR="00967E55">
              <w:rPr>
                <w:rFonts w:ascii="Arial" w:eastAsia="Times New Roman" w:hAnsi="Arial" w:cs="Arial"/>
                <w:sz w:val="14"/>
                <w:szCs w:val="14"/>
                <w:lang w:eastAsia="en-AU"/>
              </w:rPr>
              <w:t>500</w:t>
            </w:r>
          </w:p>
        </w:tc>
        <w:tc>
          <w:tcPr>
            <w:tcW w:w="0" w:type="auto"/>
            <w:tcMar>
              <w:top w:w="48" w:type="dxa"/>
              <w:left w:w="120" w:type="dxa"/>
              <w:bottom w:w="48" w:type="dxa"/>
              <w:right w:w="120" w:type="dxa"/>
            </w:tcMar>
            <w:vAlign w:val="center"/>
            <w:hideMark/>
          </w:tcPr>
          <w:p w:rsidR="00967E55" w:rsidRDefault="00967E55" w:rsidP="007C05CE">
            <w:pPr>
              <w:spacing w:after="0"/>
            </w:pPr>
          </w:p>
        </w:tc>
      </w:tr>
      <w:tr w:rsidR="00967E55" w:rsidTr="007C05CE">
        <w:trPr>
          <w:trHeight w:val="214"/>
        </w:trPr>
        <w:tc>
          <w:tcPr>
            <w:tcW w:w="0" w:type="auto"/>
            <w:tcBorders>
              <w:top w:val="nil"/>
              <w:left w:val="nil"/>
              <w:bottom w:val="single" w:sz="4"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rPr>
                <w:rFonts w:ascii="Arial" w:eastAsia="Times New Roman" w:hAnsi="Arial" w:cs="Arial"/>
                <w:sz w:val="17"/>
                <w:szCs w:val="17"/>
                <w:lang w:eastAsia="en-AU"/>
              </w:rPr>
            </w:pPr>
            <w:r>
              <w:rPr>
                <w:rFonts w:ascii="Arial" w:eastAsia="Times New Roman" w:hAnsi="Arial" w:cs="Arial"/>
                <w:sz w:val="17"/>
                <w:szCs w:val="17"/>
                <w:lang w:eastAsia="en-AU"/>
              </w:rPr>
              <w:t>Member and community fees and income</w:t>
            </w:r>
          </w:p>
        </w:tc>
        <w:tc>
          <w:tcPr>
            <w:tcW w:w="0" w:type="auto"/>
            <w:tcBorders>
              <w:top w:val="nil"/>
              <w:left w:val="nil"/>
              <w:bottom w:val="single" w:sz="4" w:space="0" w:color="FFFFFF"/>
              <w:right w:val="nil"/>
            </w:tcBorders>
            <w:tcMar>
              <w:top w:w="48" w:type="dxa"/>
              <w:left w:w="120" w:type="dxa"/>
              <w:bottom w:w="48" w:type="dxa"/>
              <w:right w:w="120" w:type="dxa"/>
            </w:tcMar>
            <w:vAlign w:val="center"/>
            <w:hideMark/>
          </w:tcPr>
          <w:p w:rsidR="00967E55" w:rsidRDefault="00777DBD" w:rsidP="007C05CE">
            <w:pPr>
              <w:spacing w:after="0" w:line="240" w:lineRule="auto"/>
              <w:jc w:val="right"/>
              <w:rPr>
                <w:rFonts w:ascii="Arial" w:eastAsia="Times New Roman" w:hAnsi="Arial" w:cs="Arial"/>
                <w:sz w:val="14"/>
                <w:szCs w:val="14"/>
                <w:lang w:eastAsia="en-AU"/>
              </w:rPr>
            </w:pPr>
            <w:r>
              <w:rPr>
                <w:rFonts w:ascii="Arial" w:eastAsia="Times New Roman" w:hAnsi="Arial" w:cs="Arial"/>
                <w:sz w:val="14"/>
                <w:szCs w:val="14"/>
                <w:lang w:eastAsia="en-AU"/>
              </w:rPr>
              <w:t>$30</w:t>
            </w:r>
            <w:r w:rsidR="00967E55">
              <w:rPr>
                <w:rFonts w:ascii="Arial" w:eastAsia="Times New Roman" w:hAnsi="Arial" w:cs="Arial"/>
                <w:sz w:val="14"/>
                <w:szCs w:val="14"/>
                <w:lang w:eastAsia="en-AU"/>
              </w:rPr>
              <w:t>00</w:t>
            </w:r>
          </w:p>
        </w:tc>
        <w:tc>
          <w:tcPr>
            <w:tcW w:w="0" w:type="auto"/>
            <w:tcBorders>
              <w:top w:val="nil"/>
              <w:left w:val="nil"/>
              <w:bottom w:val="single" w:sz="4" w:space="0" w:color="FFFFFF"/>
              <w:right w:val="nil"/>
            </w:tcBorders>
            <w:tcMar>
              <w:top w:w="48" w:type="dxa"/>
              <w:left w:w="120" w:type="dxa"/>
              <w:bottom w:w="48" w:type="dxa"/>
              <w:right w:w="120" w:type="dxa"/>
            </w:tcMar>
            <w:vAlign w:val="center"/>
            <w:hideMark/>
          </w:tcPr>
          <w:p w:rsidR="00967E55" w:rsidRDefault="004767E4" w:rsidP="007C05CE">
            <w:pPr>
              <w:spacing w:after="0" w:line="240" w:lineRule="auto"/>
              <w:jc w:val="right"/>
              <w:rPr>
                <w:rFonts w:ascii="Arial" w:eastAsia="Times New Roman" w:hAnsi="Arial" w:cs="Arial"/>
                <w:sz w:val="14"/>
                <w:szCs w:val="14"/>
                <w:lang w:eastAsia="en-AU"/>
              </w:rPr>
            </w:pPr>
            <w:r>
              <w:rPr>
                <w:rFonts w:ascii="Arial" w:eastAsia="Times New Roman" w:hAnsi="Arial" w:cs="Arial"/>
                <w:sz w:val="14"/>
                <w:szCs w:val="14"/>
                <w:lang w:eastAsia="en-AU"/>
              </w:rPr>
              <w:t>$15</w:t>
            </w:r>
            <w:r w:rsidR="00967E55">
              <w:rPr>
                <w:rFonts w:ascii="Arial" w:eastAsia="Times New Roman" w:hAnsi="Arial" w:cs="Arial"/>
                <w:sz w:val="14"/>
                <w:szCs w:val="14"/>
                <w:lang w:eastAsia="en-AU"/>
              </w:rPr>
              <w:t>00</w:t>
            </w:r>
          </w:p>
        </w:tc>
        <w:tc>
          <w:tcPr>
            <w:tcW w:w="0" w:type="auto"/>
            <w:tcBorders>
              <w:top w:val="nil"/>
              <w:left w:val="nil"/>
              <w:bottom w:val="single" w:sz="4" w:space="0" w:color="FFFFFF"/>
              <w:right w:val="nil"/>
            </w:tcBorders>
            <w:tcMar>
              <w:top w:w="48" w:type="dxa"/>
              <w:left w:w="120" w:type="dxa"/>
              <w:bottom w:w="48" w:type="dxa"/>
              <w:right w:w="120" w:type="dxa"/>
            </w:tcMar>
            <w:vAlign w:val="center"/>
            <w:hideMark/>
          </w:tcPr>
          <w:p w:rsidR="00967E55" w:rsidRDefault="00967E55" w:rsidP="007C05CE">
            <w:pPr>
              <w:spacing w:after="0"/>
            </w:pPr>
          </w:p>
        </w:tc>
      </w:tr>
      <w:tr w:rsidR="00967E55" w:rsidTr="007C05CE">
        <w:trPr>
          <w:trHeight w:val="214"/>
        </w:trPr>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rPr>
                <w:rFonts w:ascii="Arial" w:eastAsia="Times New Roman" w:hAnsi="Arial" w:cs="Arial"/>
                <w:color w:val="FFFFFF"/>
                <w:sz w:val="17"/>
                <w:szCs w:val="17"/>
                <w:lang w:eastAsia="en-AU"/>
              </w:rPr>
            </w:pPr>
            <w:r>
              <w:rPr>
                <w:rFonts w:ascii="Arial" w:eastAsia="Times New Roman" w:hAnsi="Arial" w:cs="Arial"/>
                <w:color w:val="FFFFFF"/>
                <w:sz w:val="17"/>
                <w:szCs w:val="17"/>
                <w:lang w:eastAsia="en-AU"/>
              </w:rPr>
              <w:t>Total Revenues</w:t>
            </w:r>
          </w:p>
        </w:tc>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$6,366</w:t>
            </w:r>
          </w:p>
        </w:tc>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$6,440</w:t>
            </w:r>
          </w:p>
        </w:tc>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(1)</w:t>
            </w:r>
          </w:p>
        </w:tc>
      </w:tr>
      <w:tr w:rsidR="00967E55" w:rsidTr="007C05CE">
        <w:trPr>
          <w:trHeight w:val="214"/>
        </w:trPr>
        <w:tc>
          <w:tcPr>
            <w:tcW w:w="0" w:type="auto"/>
            <w:tcMar>
              <w:top w:w="48" w:type="dxa"/>
              <w:left w:w="120" w:type="dxa"/>
              <w:bottom w:w="48" w:type="dxa"/>
              <w:right w:w="120" w:type="dxa"/>
            </w:tcMar>
            <w:vAlign w:val="center"/>
            <w:hideMark/>
          </w:tcPr>
          <w:p w:rsidR="00967E55" w:rsidRDefault="00967E55" w:rsidP="007C05CE">
            <w:pPr>
              <w:spacing w:after="0" w:line="240" w:lineRule="auto"/>
              <w:rPr>
                <w:rFonts w:ascii="Arial" w:eastAsia="Times New Roman" w:hAnsi="Arial" w:cs="Arial"/>
                <w:sz w:val="17"/>
                <w:szCs w:val="17"/>
                <w:lang w:eastAsia="en-AU"/>
              </w:rPr>
            </w:pPr>
            <w:r>
              <w:rPr>
                <w:rFonts w:ascii="Arial" w:eastAsia="Times New Roman" w:hAnsi="Arial" w:cs="Arial"/>
                <w:sz w:val="17"/>
                <w:szCs w:val="17"/>
                <w:lang w:eastAsia="en-AU"/>
              </w:rPr>
              <w:t>Actual Expenses</w:t>
            </w:r>
          </w:p>
        </w:tc>
        <w:tc>
          <w:tcPr>
            <w:tcW w:w="0" w:type="auto"/>
            <w:tcMar>
              <w:top w:w="48" w:type="dxa"/>
              <w:left w:w="120" w:type="dxa"/>
              <w:bottom w:w="48" w:type="dxa"/>
              <w:right w:w="120" w:type="dxa"/>
            </w:tcMar>
            <w:vAlign w:val="center"/>
            <w:hideMark/>
          </w:tcPr>
          <w:p w:rsidR="00967E55" w:rsidRDefault="00777DBD" w:rsidP="007C05CE">
            <w:pPr>
              <w:spacing w:after="0" w:line="240" w:lineRule="auto"/>
              <w:jc w:val="right"/>
              <w:rPr>
                <w:rFonts w:ascii="Arial" w:eastAsia="Times New Roman" w:hAnsi="Arial" w:cs="Arial"/>
                <w:sz w:val="14"/>
                <w:szCs w:val="14"/>
                <w:lang w:eastAsia="en-AU"/>
              </w:rPr>
            </w:pPr>
            <w:r>
              <w:rPr>
                <w:rFonts w:ascii="Arial" w:eastAsia="Times New Roman" w:hAnsi="Arial" w:cs="Arial"/>
                <w:sz w:val="14"/>
                <w:szCs w:val="14"/>
                <w:lang w:eastAsia="en-AU"/>
              </w:rPr>
              <w:t>$450</w:t>
            </w:r>
            <w:r w:rsidR="00967E55">
              <w:rPr>
                <w:rFonts w:ascii="Arial" w:eastAsia="Times New Roman" w:hAnsi="Arial" w:cs="Arial"/>
                <w:sz w:val="14"/>
                <w:szCs w:val="14"/>
                <w:lang w:eastAsia="en-AU"/>
              </w:rPr>
              <w:t>0</w:t>
            </w:r>
          </w:p>
        </w:tc>
        <w:tc>
          <w:tcPr>
            <w:tcW w:w="0" w:type="auto"/>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sz w:val="14"/>
                <w:szCs w:val="14"/>
                <w:lang w:eastAsia="en-AU"/>
              </w:rPr>
            </w:pPr>
            <w:r>
              <w:rPr>
                <w:rFonts w:ascii="Arial" w:eastAsia="Times New Roman" w:hAnsi="Arial" w:cs="Arial"/>
                <w:sz w:val="14"/>
                <w:szCs w:val="14"/>
                <w:lang w:eastAsia="en-AU"/>
              </w:rPr>
              <w:t>$1</w:t>
            </w:r>
            <w:r w:rsidR="004767E4">
              <w:rPr>
                <w:rFonts w:ascii="Arial" w:eastAsia="Times New Roman" w:hAnsi="Arial" w:cs="Arial"/>
                <w:sz w:val="14"/>
                <w:szCs w:val="14"/>
                <w:lang w:eastAsia="en-AU"/>
              </w:rPr>
              <w:t>8</w:t>
            </w:r>
            <w:r>
              <w:rPr>
                <w:rFonts w:ascii="Arial" w:eastAsia="Times New Roman" w:hAnsi="Arial" w:cs="Arial"/>
                <w:sz w:val="14"/>
                <w:szCs w:val="14"/>
                <w:lang w:eastAsia="en-AU"/>
              </w:rPr>
              <w:t>50</w:t>
            </w:r>
          </w:p>
        </w:tc>
        <w:tc>
          <w:tcPr>
            <w:tcW w:w="0" w:type="auto"/>
            <w:tcMar>
              <w:top w:w="48" w:type="dxa"/>
              <w:left w:w="120" w:type="dxa"/>
              <w:bottom w:w="48" w:type="dxa"/>
              <w:right w:w="120" w:type="dxa"/>
            </w:tcMar>
            <w:vAlign w:val="center"/>
            <w:hideMark/>
          </w:tcPr>
          <w:p w:rsidR="00967E55" w:rsidRDefault="00967E55" w:rsidP="007C05CE">
            <w:pPr>
              <w:spacing w:after="0"/>
            </w:pPr>
          </w:p>
        </w:tc>
      </w:tr>
      <w:tr w:rsidR="00967E55" w:rsidTr="007C05CE">
        <w:trPr>
          <w:trHeight w:val="226"/>
        </w:trPr>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rPr>
                <w:rFonts w:ascii="Arial" w:eastAsia="Times New Roman" w:hAnsi="Arial" w:cs="Arial"/>
                <w:color w:val="FFFFFF"/>
                <w:sz w:val="17"/>
                <w:szCs w:val="17"/>
                <w:lang w:eastAsia="en-AU"/>
              </w:rPr>
            </w:pPr>
            <w:r>
              <w:rPr>
                <w:rFonts w:ascii="Arial" w:eastAsia="Times New Roman" w:hAnsi="Arial" w:cs="Arial"/>
                <w:color w:val="FFFFFF"/>
                <w:sz w:val="17"/>
                <w:szCs w:val="17"/>
                <w:lang w:eastAsia="en-AU"/>
              </w:rPr>
              <w:t>Income from Continuing Operations</w:t>
            </w:r>
          </w:p>
        </w:tc>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$994</w:t>
            </w:r>
          </w:p>
        </w:tc>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$936</w:t>
            </w:r>
          </w:p>
        </w:tc>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6</w:t>
            </w:r>
          </w:p>
        </w:tc>
      </w:tr>
      <w:tr w:rsidR="00967E55" w:rsidTr="007C05CE">
        <w:trPr>
          <w:trHeight w:val="428"/>
        </w:trPr>
        <w:tc>
          <w:tcPr>
            <w:tcW w:w="0" w:type="auto"/>
            <w:tcMar>
              <w:top w:w="48" w:type="dxa"/>
              <w:left w:w="120" w:type="dxa"/>
              <w:bottom w:w="48" w:type="dxa"/>
              <w:right w:w="120" w:type="dxa"/>
            </w:tcMar>
            <w:vAlign w:val="center"/>
            <w:hideMark/>
          </w:tcPr>
          <w:p w:rsidR="00967E55" w:rsidRDefault="00967E55" w:rsidP="007C05CE">
            <w:pPr>
              <w:spacing w:after="0"/>
            </w:pPr>
          </w:p>
        </w:tc>
        <w:tc>
          <w:tcPr>
            <w:tcW w:w="0" w:type="auto"/>
            <w:tcMar>
              <w:top w:w="48" w:type="dxa"/>
              <w:left w:w="120" w:type="dxa"/>
              <w:bottom w:w="48" w:type="dxa"/>
              <w:right w:w="120" w:type="dxa"/>
            </w:tcMar>
            <w:vAlign w:val="center"/>
            <w:hideMark/>
          </w:tcPr>
          <w:p w:rsidR="00967E55" w:rsidRDefault="00967E55" w:rsidP="007C05CE">
            <w:pPr>
              <w:spacing w:after="0"/>
            </w:pPr>
          </w:p>
        </w:tc>
        <w:tc>
          <w:tcPr>
            <w:tcW w:w="0" w:type="auto"/>
            <w:tcMar>
              <w:top w:w="48" w:type="dxa"/>
              <w:left w:w="120" w:type="dxa"/>
              <w:bottom w:w="48" w:type="dxa"/>
              <w:right w:w="120" w:type="dxa"/>
            </w:tcMar>
            <w:vAlign w:val="center"/>
            <w:hideMark/>
          </w:tcPr>
          <w:p w:rsidR="00967E55" w:rsidRDefault="00967E55" w:rsidP="007C05CE">
            <w:pPr>
              <w:spacing w:after="0"/>
            </w:pPr>
          </w:p>
        </w:tc>
        <w:tc>
          <w:tcPr>
            <w:tcW w:w="0" w:type="auto"/>
            <w:tcMar>
              <w:top w:w="48" w:type="dxa"/>
              <w:left w:w="120" w:type="dxa"/>
              <w:bottom w:w="48" w:type="dxa"/>
              <w:right w:w="120" w:type="dxa"/>
            </w:tcMar>
            <w:vAlign w:val="center"/>
            <w:hideMark/>
          </w:tcPr>
          <w:p w:rsidR="00967E55" w:rsidRDefault="00967E55" w:rsidP="007C05CE">
            <w:pPr>
              <w:spacing w:after="0"/>
            </w:pPr>
          </w:p>
        </w:tc>
      </w:tr>
      <w:tr w:rsidR="00967E55" w:rsidTr="007C05CE">
        <w:trPr>
          <w:trHeight w:val="214"/>
        </w:trPr>
        <w:tc>
          <w:tcPr>
            <w:tcW w:w="0" w:type="auto"/>
            <w:tcBorders>
              <w:top w:val="nil"/>
              <w:left w:val="nil"/>
              <w:bottom w:val="single" w:sz="4" w:space="0" w:color="FFFFFF"/>
              <w:right w:val="nil"/>
            </w:tcBorders>
            <w:tcMar>
              <w:top w:w="48" w:type="dxa"/>
              <w:left w:w="120" w:type="dxa"/>
              <w:bottom w:w="48" w:type="dxa"/>
              <w:right w:w="120" w:type="dxa"/>
            </w:tcMar>
            <w:vAlign w:val="center"/>
            <w:hideMark/>
          </w:tcPr>
          <w:p w:rsidR="00967E55" w:rsidRDefault="00967E55" w:rsidP="007C05CE">
            <w:pPr>
              <w:spacing w:after="0"/>
            </w:pPr>
          </w:p>
        </w:tc>
        <w:tc>
          <w:tcPr>
            <w:tcW w:w="0" w:type="auto"/>
            <w:tcBorders>
              <w:top w:val="nil"/>
              <w:left w:val="nil"/>
              <w:bottom w:val="single" w:sz="4" w:space="0" w:color="FFFFFF"/>
              <w:right w:val="nil"/>
            </w:tcBorders>
            <w:tcMar>
              <w:top w:w="48" w:type="dxa"/>
              <w:left w:w="120" w:type="dxa"/>
              <w:bottom w:w="48" w:type="dxa"/>
              <w:right w:w="120" w:type="dxa"/>
            </w:tcMar>
            <w:vAlign w:val="center"/>
            <w:hideMark/>
          </w:tcPr>
          <w:p w:rsidR="00967E55" w:rsidRDefault="00967E55" w:rsidP="007C05CE">
            <w:pPr>
              <w:spacing w:after="0"/>
            </w:pPr>
          </w:p>
        </w:tc>
        <w:tc>
          <w:tcPr>
            <w:tcW w:w="0" w:type="auto"/>
            <w:tcBorders>
              <w:top w:val="nil"/>
              <w:left w:val="nil"/>
              <w:bottom w:val="single" w:sz="4" w:space="0" w:color="FFFFFF"/>
              <w:right w:val="nil"/>
            </w:tcBorders>
            <w:tcMar>
              <w:top w:w="48" w:type="dxa"/>
              <w:left w:w="120" w:type="dxa"/>
              <w:bottom w:w="48" w:type="dxa"/>
              <w:right w:w="120" w:type="dxa"/>
            </w:tcMar>
            <w:vAlign w:val="center"/>
            <w:hideMark/>
          </w:tcPr>
          <w:p w:rsidR="00967E55" w:rsidRDefault="00967E55" w:rsidP="007C05CE">
            <w:pPr>
              <w:spacing w:after="0"/>
            </w:pPr>
          </w:p>
        </w:tc>
        <w:tc>
          <w:tcPr>
            <w:tcW w:w="0" w:type="auto"/>
            <w:tcBorders>
              <w:top w:val="nil"/>
              <w:left w:val="nil"/>
              <w:bottom w:val="single" w:sz="4" w:space="0" w:color="FFFFFF"/>
              <w:right w:val="nil"/>
            </w:tcBorders>
            <w:tcMar>
              <w:top w:w="48" w:type="dxa"/>
              <w:left w:w="120" w:type="dxa"/>
              <w:bottom w:w="48" w:type="dxa"/>
              <w:right w:w="120" w:type="dxa"/>
            </w:tcMar>
            <w:vAlign w:val="center"/>
            <w:hideMark/>
          </w:tcPr>
          <w:p w:rsidR="00967E55" w:rsidRDefault="00967E55" w:rsidP="007C05CE">
            <w:pPr>
              <w:spacing w:after="0"/>
            </w:pPr>
          </w:p>
        </w:tc>
      </w:tr>
      <w:tr w:rsidR="00967E55" w:rsidTr="007C05CE">
        <w:trPr>
          <w:trHeight w:val="415"/>
        </w:trPr>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rPr>
                <w:rFonts w:ascii="Arial" w:eastAsia="Times New Roman" w:hAnsi="Arial" w:cs="Arial"/>
                <w:color w:val="FFFFFF"/>
                <w:sz w:val="17"/>
                <w:szCs w:val="17"/>
                <w:lang w:eastAsia="en-AU"/>
              </w:rPr>
            </w:pPr>
            <w:r>
              <w:rPr>
                <w:rFonts w:ascii="Arial" w:eastAsia="Times New Roman" w:hAnsi="Arial" w:cs="Arial"/>
                <w:color w:val="FFFFFF"/>
                <w:sz w:val="17"/>
                <w:szCs w:val="17"/>
                <w:lang w:eastAsia="en-AU"/>
              </w:rPr>
              <w:t>Diluted Earnings Per Common Share from Continuing Operations before Special Items </w:t>
            </w:r>
            <w:r>
              <w:rPr>
                <w:rFonts w:ascii="Arial" w:eastAsia="Times New Roman" w:hAnsi="Arial" w:cs="Arial"/>
                <w:color w:val="FFFFFF"/>
                <w:sz w:val="17"/>
                <w:szCs w:val="17"/>
                <w:bdr w:val="none" w:sz="0" w:space="0" w:color="auto" w:frame="1"/>
                <w:vertAlign w:val="superscript"/>
                <w:lang w:eastAsia="en-AU"/>
              </w:rPr>
              <w:t>(a)</w:t>
            </w:r>
          </w:p>
        </w:tc>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$2.45</w:t>
            </w:r>
          </w:p>
        </w:tc>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$2.33</w:t>
            </w:r>
          </w:p>
        </w:tc>
        <w:tc>
          <w:tcPr>
            <w:tcW w:w="0" w:type="auto"/>
            <w:tcBorders>
              <w:top w:val="nil"/>
              <w:left w:val="nil"/>
              <w:bottom w:val="single" w:sz="12" w:space="0" w:color="FFFFFF"/>
              <w:right w:val="nil"/>
            </w:tcBorders>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5</w:t>
            </w:r>
          </w:p>
        </w:tc>
      </w:tr>
      <w:tr w:rsidR="00967E55" w:rsidTr="007C05CE">
        <w:trPr>
          <w:trHeight w:val="415"/>
        </w:trPr>
        <w:tc>
          <w:tcPr>
            <w:tcW w:w="0" w:type="auto"/>
            <w:tcBorders>
              <w:top w:val="nil"/>
              <w:left w:val="nil"/>
              <w:bottom w:val="single" w:sz="12" w:space="0" w:color="FFFFFF"/>
              <w:right w:val="nil"/>
            </w:tcBorders>
            <w:shd w:val="clear" w:color="auto" w:fill="39BDB5"/>
            <w:tcMar>
              <w:top w:w="48" w:type="dxa"/>
              <w:left w:w="120" w:type="dxa"/>
              <w:bottom w:w="48" w:type="dxa"/>
              <w:right w:w="120" w:type="dxa"/>
            </w:tcMar>
            <w:vAlign w:val="center"/>
            <w:hideMark/>
          </w:tcPr>
          <w:p w:rsidR="00967E55" w:rsidRDefault="00967E55" w:rsidP="007C05CE">
            <w:pPr>
              <w:spacing w:after="0" w:line="240" w:lineRule="auto"/>
              <w:rPr>
                <w:rFonts w:ascii="Arial" w:eastAsia="Times New Roman" w:hAnsi="Arial" w:cs="Arial"/>
                <w:color w:val="FFFFFF"/>
                <w:sz w:val="17"/>
                <w:szCs w:val="17"/>
                <w:lang w:eastAsia="en-AU"/>
              </w:rPr>
            </w:pPr>
            <w:r>
              <w:rPr>
                <w:rFonts w:ascii="Arial" w:eastAsia="Times New Roman" w:hAnsi="Arial" w:cs="Arial"/>
                <w:color w:val="FFFFFF"/>
                <w:sz w:val="17"/>
                <w:szCs w:val="17"/>
                <w:lang w:eastAsia="en-AU"/>
              </w:rPr>
              <w:t>Total Income for the year</w:t>
            </w:r>
          </w:p>
        </w:tc>
        <w:tc>
          <w:tcPr>
            <w:tcW w:w="0" w:type="auto"/>
            <w:tcBorders>
              <w:top w:val="nil"/>
              <w:left w:val="nil"/>
              <w:bottom w:val="single" w:sz="12" w:space="0" w:color="FFFFFF"/>
              <w:right w:val="nil"/>
            </w:tcBorders>
            <w:shd w:val="clear" w:color="auto" w:fill="39BDB5"/>
            <w:tcMar>
              <w:top w:w="48" w:type="dxa"/>
              <w:left w:w="120" w:type="dxa"/>
              <w:bottom w:w="48" w:type="dxa"/>
              <w:right w:w="120" w:type="dxa"/>
            </w:tcMar>
            <w:vAlign w:val="center"/>
            <w:hideMark/>
          </w:tcPr>
          <w:p w:rsidR="00967E55" w:rsidRDefault="00967E55"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$10000</w:t>
            </w:r>
          </w:p>
        </w:tc>
        <w:tc>
          <w:tcPr>
            <w:tcW w:w="0" w:type="auto"/>
            <w:tcBorders>
              <w:top w:val="nil"/>
              <w:left w:val="nil"/>
              <w:bottom w:val="single" w:sz="12" w:space="0" w:color="FFFFFF"/>
              <w:right w:val="nil"/>
            </w:tcBorders>
            <w:shd w:val="clear" w:color="auto" w:fill="39BDB5"/>
            <w:tcMar>
              <w:top w:w="48" w:type="dxa"/>
              <w:left w:w="120" w:type="dxa"/>
              <w:bottom w:w="48" w:type="dxa"/>
              <w:right w:w="120" w:type="dxa"/>
            </w:tcMar>
            <w:vAlign w:val="center"/>
          </w:tcPr>
          <w:p w:rsidR="00967E55" w:rsidRDefault="00967E55" w:rsidP="007C05CE">
            <w:pPr>
              <w:spacing w:after="0" w:line="240" w:lineRule="auto"/>
              <w:jc w:val="right"/>
              <w:rPr>
                <w:rFonts w:ascii="Arial" w:eastAsia="Times New Roman" w:hAnsi="Arial" w:cs="Arial"/>
                <w:color w:val="FFFFFF"/>
                <w:sz w:val="14"/>
                <w:szCs w:val="14"/>
                <w:lang w:eastAsia="en-AU"/>
              </w:rPr>
            </w:pPr>
          </w:p>
          <w:p w:rsidR="00967E55" w:rsidRDefault="00777DBD" w:rsidP="007C05CE">
            <w:pPr>
              <w:spacing w:after="0" w:line="240" w:lineRule="auto"/>
              <w:jc w:val="right"/>
              <w:rPr>
                <w:rFonts w:ascii="Arial" w:eastAsia="Times New Roman" w:hAnsi="Arial" w:cs="Arial"/>
                <w:color w:val="FFFFFF"/>
                <w:sz w:val="14"/>
                <w:szCs w:val="14"/>
                <w:lang w:eastAsia="en-AU"/>
              </w:rPr>
            </w:pPr>
            <w:r>
              <w:rPr>
                <w:rFonts w:ascii="Arial" w:eastAsia="Times New Roman" w:hAnsi="Arial" w:cs="Arial"/>
                <w:color w:val="FFFFFF"/>
                <w:sz w:val="14"/>
                <w:szCs w:val="14"/>
                <w:lang w:eastAsia="en-AU"/>
              </w:rPr>
              <w:t>$50</w:t>
            </w:r>
            <w:r w:rsidR="00967E55">
              <w:rPr>
                <w:rFonts w:ascii="Arial" w:eastAsia="Times New Roman" w:hAnsi="Arial" w:cs="Arial"/>
                <w:color w:val="FFFFFF"/>
                <w:sz w:val="14"/>
                <w:szCs w:val="14"/>
                <w:lang w:eastAsia="en-AU"/>
              </w:rPr>
              <w:t>00</w:t>
            </w:r>
            <w:r w:rsidR="00967E55">
              <w:rPr>
                <w:rFonts w:ascii="Arial" w:eastAsia="Times New Roman" w:hAnsi="Arial" w:cs="Arial"/>
                <w:sz w:val="24"/>
                <w:szCs w:val="24"/>
                <w:lang w:eastAsia="en-AU"/>
              </w:rPr>
              <w:br/>
            </w:r>
          </w:p>
        </w:tc>
        <w:tc>
          <w:tcPr>
            <w:tcW w:w="0" w:type="auto"/>
            <w:vAlign w:val="center"/>
            <w:hideMark/>
          </w:tcPr>
          <w:p w:rsidR="00967E55" w:rsidRDefault="00967E55" w:rsidP="007C05CE">
            <w:pPr>
              <w:spacing w:after="0"/>
            </w:pPr>
          </w:p>
        </w:tc>
      </w:tr>
    </w:tbl>
    <w:p w:rsidR="00967E55" w:rsidRDefault="00967E55" w:rsidP="00967E55"/>
    <w:p w:rsidR="00B979AE" w:rsidRDefault="00B979AE"/>
    <w:sectPr w:rsidR="00B979AE" w:rsidSect="00B979AE">
      <w:head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41" w:rsidRDefault="002B2541" w:rsidP="00777DBD">
      <w:pPr>
        <w:spacing w:after="0" w:line="240" w:lineRule="auto"/>
      </w:pPr>
      <w:r>
        <w:separator/>
      </w:r>
    </w:p>
  </w:endnote>
  <w:endnote w:type="continuationSeparator" w:id="0">
    <w:p w:rsidR="002B2541" w:rsidRDefault="002B2541" w:rsidP="00777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41" w:rsidRDefault="002B2541" w:rsidP="00777DBD">
      <w:pPr>
        <w:spacing w:after="0" w:line="240" w:lineRule="auto"/>
      </w:pPr>
      <w:r>
        <w:separator/>
      </w:r>
    </w:p>
  </w:footnote>
  <w:footnote w:type="continuationSeparator" w:id="0">
    <w:p w:rsidR="002B2541" w:rsidRDefault="002B2541" w:rsidP="00777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AB" w:rsidRPr="00E846A3" w:rsidRDefault="003466AB" w:rsidP="003466AB">
    <w:pPr>
      <w:pStyle w:val="Header"/>
      <w:rPr>
        <w:b/>
      </w:rPr>
    </w:pPr>
    <w:r>
      <w:rPr>
        <w:noProof/>
        <w:lang w:eastAsia="en-AU"/>
      </w:rPr>
      <w:pict>
        <v:group id="_x0000_s2049" style="position:absolute;margin-left:-134.65pt;margin-top:-4.25pt;width:181.9pt;height:72.9pt;z-index:251658240;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2050" type="#_x0000_t32" style="position:absolute;left:4136;top:15;width:3058;height:3855" o:connectortype="straight" strokecolor="#a7bfde [1620]"/>
          <v:oval id="_x0000_s2051" style="position:absolute;left:6674;top:444;width:4116;height:4116" fillcolor="#a7bfde [1620]" stroked="f"/>
          <v:oval id="_x0000_s2052" style="position:absolute;left:6773;top:1058;width:3367;height:3367" fillcolor="#d3dfee [820]" stroked="f"/>
          <v:oval id="_x0000_s2053" style="position:absolute;left:6856;top:1709;width:2553;height:2553" fillcolor="#7ba0cd [2420]" stroked="f"/>
          <w10:wrap anchorx="margin" anchory="page"/>
        </v:group>
      </w:pict>
    </w:r>
    <w:r>
      <w:t xml:space="preserve">                         </w:t>
    </w:r>
    <w:r w:rsidRPr="00E846A3">
      <w:rPr>
        <w:b/>
      </w:rPr>
      <w:t>Women against Violence and Expediency Handling initiative</w:t>
    </w:r>
    <w:r w:rsidRPr="00E846A3">
      <w:rPr>
        <w:b/>
      </w:rPr>
      <w:tab/>
    </w:r>
  </w:p>
  <w:p w:rsidR="003466AB" w:rsidRPr="00E846A3" w:rsidRDefault="003466AB" w:rsidP="003466AB">
    <w:pPr>
      <w:pStyle w:val="Header"/>
      <w:rPr>
        <w:b/>
      </w:rPr>
    </w:pPr>
    <w:r>
      <w:rPr>
        <w:b/>
      </w:rPr>
      <w:t xml:space="preserve">                          </w:t>
    </w:r>
    <w:r w:rsidRPr="00E846A3">
      <w:rPr>
        <w:b/>
      </w:rPr>
      <w:t xml:space="preserve">321 Road, D Close, House 30, Festac Town, Lagos. </w:t>
    </w:r>
  </w:p>
  <w:p w:rsidR="003466AB" w:rsidRDefault="003466AB" w:rsidP="003466AB">
    <w:pPr>
      <w:pStyle w:val="Header"/>
    </w:pPr>
    <w:r w:rsidRPr="00E846A3">
      <w:rPr>
        <w:b/>
      </w:rPr>
      <w:t xml:space="preserve">     </w:t>
    </w:r>
    <w:r>
      <w:rPr>
        <w:b/>
      </w:rPr>
      <w:t xml:space="preserve">                     </w:t>
    </w:r>
    <w:r w:rsidRPr="00E846A3">
      <w:rPr>
        <w:b/>
      </w:rPr>
      <w:t>Phone: +2349095235887, +2348144015052. Email: wavehi.ng@gmail.com</w:t>
    </w:r>
    <w:r>
      <w:tab/>
    </w:r>
  </w:p>
  <w:p w:rsidR="00777DBD" w:rsidRPr="003466AB" w:rsidRDefault="003466AB">
    <w:pPr>
      <w:pStyle w:val="Header"/>
      <w:rPr>
        <w:i/>
      </w:rPr>
    </w:pPr>
    <w:r w:rsidRPr="000805A8">
      <w:rPr>
        <w:b/>
        <w:i/>
        <w:color w:val="365F91" w:themeColor="accent1" w:themeShade="BF"/>
        <w:lang w:val="en-US"/>
      </w:rPr>
      <w:t>WAVEHI</w:t>
    </w:r>
    <w:r>
      <w:t xml:space="preserve">           </w:t>
    </w:r>
    <w:hyperlink r:id="rId1" w:history="1">
      <w:r w:rsidRPr="0059162D">
        <w:rPr>
          <w:rStyle w:val="Hyperlink"/>
          <w:i/>
        </w:rPr>
        <w:t>www.wavehi-ng.com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25AD9"/>
    <w:multiLevelType w:val="multilevel"/>
    <w:tmpl w:val="1EF02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B123F0F"/>
    <w:multiLevelType w:val="multilevel"/>
    <w:tmpl w:val="E4F897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rsids>
    <w:rsidRoot w:val="00967E55"/>
    <w:rsid w:val="001976B1"/>
    <w:rsid w:val="002B2541"/>
    <w:rsid w:val="003466AB"/>
    <w:rsid w:val="003735B3"/>
    <w:rsid w:val="004767E4"/>
    <w:rsid w:val="00777DBD"/>
    <w:rsid w:val="00967E55"/>
    <w:rsid w:val="00B979A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55"/>
    <w:rPr>
      <w:color w:val="0000FF"/>
      <w:u w:val="single"/>
    </w:rPr>
  </w:style>
  <w:style w:type="paragraph" w:styleId="Header">
    <w:name w:val="header"/>
    <w:basedOn w:val="Normal"/>
    <w:link w:val="HeaderChar"/>
    <w:uiPriority w:val="99"/>
    <w:semiHidden/>
    <w:unhideWhenUsed/>
    <w:rsid w:val="00777D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7DBD"/>
  </w:style>
  <w:style w:type="paragraph" w:styleId="Footer">
    <w:name w:val="footer"/>
    <w:basedOn w:val="Normal"/>
    <w:link w:val="FooterChar"/>
    <w:uiPriority w:val="99"/>
    <w:semiHidden/>
    <w:unhideWhenUsed/>
    <w:rsid w:val="00777D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7D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um.com/annualreport/downloads/download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wave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2022-12-12T09:18:00Z</dcterms:created>
  <dcterms:modified xsi:type="dcterms:W3CDTF">2022-12-12T10:09:00Z</dcterms:modified>
</cp:coreProperties>
</file>